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color w:val="7F6000"/>
          <w:sz w:val="32"/>
        </w:rPr>
        <w:t xml:space="preserve">DEVIS DE RÉNOVATION SIMPLE</w:t>
      </w:r>
    </w:p>
    <w:p>
      <w:pPr>
        <w:jc w:val="center"/>
      </w:pPr>
      <w:r>
        <w:rPr/>
        <w:t xml:space="preserve">Pour les petites rénovations avec peu de postes, matériaux et main-d'oeuvre séparés.</w:t>
      </w:r>
    </w:p>
    <w:p>
      <w:r>
        <w:rPr>
          <w:b/>
          <w:color w:val="7F6000"/>
          <w:sz w:val="24"/>
        </w:rPr>
        <w:t xml:space="preserve">Données générales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Nom / raison sociale: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  <w:tc>
          <w:tcPr>
            <w:tcW w:type="dxa" w:w="4320"/>
          </w:tcPr>
          <w:p>
            <w:r>
              <w:rPr/>
              <w:t xml:space="preserve">Nom / entreprise du client: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N° devis: DEV-2026-001</w:t>
              <w:br/>
              <w:t xml:space="preserve">Date: 14/08/2026</w:t>
            </w:r>
          </w:p>
        </w:tc>
        <w:tc>
          <w:tcPr>
            <w:tcW w:type="dxa" w:w="4320"/>
          </w:tcPr>
          <w:p>
            <w:r>
              <w:rPr/>
              <w:t xml:space="preserve">Validité: 30 jours</w:t>
              <w:br/>
              <w:t xml:space="preserve">Paiement: [ ]</w:t>
            </w:r>
          </w:p>
        </w:tc>
      </w:tr>
    </w:tbl>
    <w:p>
      <w:r>
        <w:rPr>
          <w:b/>
          <w:color w:val="7F6000"/>
          <w:sz w:val="24"/>
        </w:rPr>
        <w:t xml:space="preserve">Détail du devis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1728"/>
          </w:tcPr>
          <w:p>
            <w:r>
              <w:rPr>
                <w:b/>
              </w:rPr>
              <w:t xml:space="preserve">Poste</w:t>
            </w:r>
          </w:p>
        </w:tc>
        <w:tc>
          <w:tcPr>
            <w:tcW w:type="dxa" w:w="1728"/>
          </w:tcPr>
          <w:p>
            <w:r>
              <w:rPr>
                <w:b/>
              </w:rPr>
              <w:t xml:space="preserve">Unité</w:t>
            </w:r>
          </w:p>
        </w:tc>
        <w:tc>
          <w:tcPr>
            <w:tcW w:type="dxa" w:w="1728"/>
          </w:tcPr>
          <w:p>
            <w:r>
              <w:rPr>
                <w:b/>
              </w:rPr>
              <w:t xml:space="preserve">Quantité</w:t>
            </w:r>
          </w:p>
        </w:tc>
        <w:tc>
          <w:tcPr>
            <w:tcW w:type="dxa" w:w="1728"/>
          </w:tcPr>
          <w:p>
            <w:r>
              <w:rPr>
                <w:b/>
              </w:rPr>
              <w:t xml:space="preserve">Prix unitaire</w:t>
            </w:r>
          </w:p>
        </w:tc>
        <w:tc>
          <w:tcPr>
            <w:tcW w:type="dxa" w:w="1728"/>
          </w:tcPr>
          <w:p>
            <w:r>
              <w:rPr>
                <w:b/>
              </w:rPr>
              <w:t xml:space="preserve">Montant</w:t>
            </w:r>
          </w:p>
        </w:tc>
      </w:tr>
      <w:tr>
        <w:tc>
          <w:tcPr>
            <w:tcW w:type="dxa" w:w="1728"/>
          </w:tcPr>
          <w:p>
            <w:r>
              <w:rPr/>
              <w:t xml:space="preserve">Dépose et évacuation</w:t>
            </w:r>
          </w:p>
        </w:tc>
        <w:tc>
          <w:tcPr>
            <w:tcW w:type="dxa" w:w="1728"/>
          </w:tcPr>
          <w:p>
            <w:r>
              <w:rPr/>
              <w:t xml:space="preserve">u.</w:t>
            </w:r>
          </w:p>
        </w:tc>
        <w:tc>
          <w:tcPr>
            <w:tcW w:type="dxa" w:w="1728"/>
          </w:tcPr>
          <w:p>
            <w:r>
              <w:rPr/>
              <w:t xml:space="preserve">1</w:t>
            </w:r>
          </w:p>
        </w:tc>
        <w:tc>
          <w:tcPr>
            <w:tcW w:type="dxa" w:w="1728"/>
          </w:tcPr>
          <w:p>
            <w:r>
              <w:rPr/>
              <w:t xml:space="preserve">280,00 €</w:t>
            </w:r>
          </w:p>
        </w:tc>
        <w:tc>
          <w:tcPr>
            <w:tcW w:type="dxa" w:w="1728"/>
          </w:tcPr>
          <w:p>
            <w:r>
              <w:rPr/>
              <w:t xml:space="preserve">280,00 €</w:t>
            </w:r>
          </w:p>
        </w:tc>
      </w:tr>
      <w:tr>
        <w:tc>
          <w:tcPr>
            <w:tcW w:type="dxa" w:w="1728"/>
          </w:tcPr>
          <w:p>
            <w:r>
              <w:rPr/>
              <w:t xml:space="preserve">Maçonnerie</w:t>
            </w:r>
          </w:p>
        </w:tc>
        <w:tc>
          <w:tcPr>
            <w:tcW w:type="dxa" w:w="1728"/>
          </w:tcPr>
          <w:p>
            <w:r>
              <w:rPr/>
              <w:t xml:space="preserve">m²</w:t>
            </w:r>
          </w:p>
        </w:tc>
        <w:tc>
          <w:tcPr>
            <w:tcW w:type="dxa" w:w="1728"/>
          </w:tcPr>
          <w:p>
            <w:r>
              <w:rPr/>
              <w:t xml:space="preserve">18</w:t>
            </w:r>
          </w:p>
        </w:tc>
        <w:tc>
          <w:tcPr>
            <w:tcW w:type="dxa" w:w="1728"/>
          </w:tcPr>
          <w:p>
            <w:r>
              <w:rPr/>
              <w:t xml:space="preserve">45,00 €</w:t>
            </w:r>
          </w:p>
        </w:tc>
        <w:tc>
          <w:tcPr>
            <w:tcW w:type="dxa" w:w="1728"/>
          </w:tcPr>
          <w:p>
            <w:r>
              <w:rPr/>
              <w:t xml:space="preserve">810,00 €</w:t>
            </w:r>
          </w:p>
        </w:tc>
      </w:tr>
      <w:tr>
        <w:tc>
          <w:tcPr>
            <w:tcW w:type="dxa" w:w="1728"/>
          </w:tcPr>
          <w:p>
            <w:r>
              <w:rPr/>
              <w:t xml:space="preserve">Peinture intérieure</w:t>
            </w:r>
          </w:p>
        </w:tc>
        <w:tc>
          <w:tcPr>
            <w:tcW w:type="dxa" w:w="1728"/>
          </w:tcPr>
          <w:p>
            <w:r>
              <w:rPr/>
              <w:t xml:space="preserve">m²</w:t>
            </w:r>
          </w:p>
        </w:tc>
        <w:tc>
          <w:tcPr>
            <w:tcW w:type="dxa" w:w="1728"/>
          </w:tcPr>
          <w:p>
            <w:r>
              <w:rPr/>
              <w:t xml:space="preserve">55</w:t>
            </w:r>
          </w:p>
        </w:tc>
        <w:tc>
          <w:tcPr>
            <w:tcW w:type="dxa" w:w="1728"/>
          </w:tcPr>
          <w:p>
            <w:r>
              <w:rPr/>
              <w:t xml:space="preserve">12,00 €</w:t>
            </w:r>
          </w:p>
        </w:tc>
        <w:tc>
          <w:tcPr>
            <w:tcW w:type="dxa" w:w="1728"/>
          </w:tcPr>
          <w:p>
            <w:r>
              <w:rPr/>
              <w:t xml:space="preserve">660,00 €</w:t>
            </w:r>
          </w:p>
        </w:tc>
      </w:tr>
      <w:tr>
        <w:tc>
          <w:tcPr>
            <w:tcW w:type="dxa" w:w="1728"/>
          </w:tcPr>
          <w:p>
            <w:r>
              <w:rPr/>
              <w:t xml:space="preserve">Plomberie simple</w:t>
            </w:r>
          </w:p>
        </w:tc>
        <w:tc>
          <w:tcPr>
            <w:tcW w:type="dxa" w:w="1728"/>
          </w:tcPr>
          <w:p>
            <w:r>
              <w:rPr/>
              <w:t xml:space="preserve">u.</w:t>
            </w:r>
          </w:p>
        </w:tc>
        <w:tc>
          <w:tcPr>
            <w:tcW w:type="dxa" w:w="1728"/>
          </w:tcPr>
          <w:p>
            <w:r>
              <w:rPr/>
              <w:t xml:space="preserve">1</w:t>
            </w:r>
          </w:p>
        </w:tc>
        <w:tc>
          <w:tcPr>
            <w:tcW w:type="dxa" w:w="1728"/>
          </w:tcPr>
          <w:p>
            <w:r>
              <w:rPr/>
              <w:t xml:space="preserve">420,00 €</w:t>
            </w:r>
          </w:p>
        </w:tc>
        <w:tc>
          <w:tcPr>
            <w:tcW w:type="dxa" w:w="1728"/>
          </w:tcPr>
          <w:p>
            <w:r>
              <w:rPr/>
              <w:t xml:space="preserve">420,00 €</w:t>
            </w:r>
          </w:p>
        </w:tc>
      </w:tr>
      <w:tr>
        <w:tc>
          <w:tcPr>
            <w:tcW w:type="dxa" w:w="1728"/>
          </w:tcPr>
          <w:p>
            <w:r>
              <w:rPr/>
              <w:t xml:space="preserve">Nettoyage de fin de chantier</w:t>
            </w:r>
          </w:p>
        </w:tc>
        <w:tc>
          <w:tcPr>
            <w:tcW w:type="dxa" w:w="1728"/>
          </w:tcPr>
          <w:p>
            <w:r>
              <w:rPr/>
              <w:t xml:space="preserve">u.</w:t>
            </w:r>
          </w:p>
        </w:tc>
        <w:tc>
          <w:tcPr>
            <w:tcW w:type="dxa" w:w="1728"/>
          </w:tcPr>
          <w:p>
            <w:r>
              <w:rPr/>
              <w:t xml:space="preserve">1</w:t>
            </w:r>
          </w:p>
        </w:tc>
        <w:tc>
          <w:tcPr>
            <w:tcW w:type="dxa" w:w="1728"/>
          </w:tcPr>
          <w:p>
            <w:r>
              <w:rPr/>
              <w:t xml:space="preserve">120,00 €</w:t>
            </w:r>
          </w:p>
        </w:tc>
        <w:tc>
          <w:tcPr>
            <w:tcW w:type="dxa" w:w="1728"/>
          </w:tcPr>
          <w:p>
            <w:r>
              <w:rPr/>
              <w:t xml:space="preserve">120,00 €</w:t>
            </w:r>
          </w:p>
        </w:tc>
      </w:tr>
    </w:tbl>
    <w:p>
      <w:r>
        <w:rPr>
          <w:b/>
          <w:color w:val="7F6000"/>
          <w:sz w:val="24"/>
        </w:rPr>
        <w:t xml:space="preserve">Résumé fiscal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Sous-total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Remise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Base HT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Taux de TVA</w:t>
            </w:r>
          </w:p>
        </w:tc>
        <w:tc>
          <w:tcPr>
            <w:tcW w:type="dxa" w:w="4320"/>
          </w:tcPr>
          <w:p>
            <w:r>
              <w:rPr/>
              <w:t xml:space="preserve">20 %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TVA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Total du devis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</w:tbl>
    <w:p>
      <w:r>
        <w:rPr>
          <w:b/>
          <w:color w:val="7F6000"/>
          <w:sz w:val="24"/>
        </w:rPr>
        <w:t xml:space="preserve">Champs clés de ce modèle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Champ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Utilisation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Métrés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Matériaux inclus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Main-d'oeuvre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Autorisations non incluses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</w:tbl>
    <w:p>
      <w:r>
        <w:rPr>
          <w:b/>
          <w:color w:val="7F6000"/>
          <w:sz w:val="24"/>
        </w:rPr>
        <w:t xml:space="preserve">Conditions et observations</w:t>
      </w:r>
    </w:p>
    <w:p>
      <w:r>
        <w:rPr/>
        <w:t xml:space="preserve">- Le prix comprend les matériaux standards et la main-d'oeuvre indiquée.</w:t>
      </w:r>
    </w:p>
    <w:p>
      <w:r>
        <w:rPr/>
        <w:t xml:space="preserve">- Les autorisations, taxes locales et travaux cachés non détectés ne sont pas inclus.</w:t>
      </w:r>
    </w:p>
    <w:p>
      <w:r>
        <w:rPr/>
        <w:t xml:space="preserve">- Le délai est confirmé après la visite technique.</w:t>
      </w:r>
    </w:p>
    <w:p>
      <w:r>
        <w:rPr>
          <w:b/>
          <w:color w:val="7F6000"/>
          <w:sz w:val="24"/>
        </w:rPr>
        <w:t xml:space="preserve">Acceptation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Signature de l'émetteur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Acceptation du 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/>
            </w:r>
          </w:p>
        </w:tc>
        <w:tc>
          <w:tcPr>
            <w:tcW w:type="dxa" w:w="4320"/>
          </w:tcPr>
          <w:p>
            <w:r>
              <w:rPr/>
              <w:t xml:space="preserve"/>
            </w:r>
          </w:p>
        </w:tc>
      </w:tr>
    </w:tbl>
    <w:sectPr>
      <w:pgSz w:w="12240" w:h="15840"/>
      <w:pgMar w:top="1200" w:right="1200" w:bottom="1200" w:left="1200" w:header="720" w:footer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</w:styles>
</file>