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4472C4"/>
          <w:sz w:val="32"/>
        </w:rPr>
        <w:t xml:space="preserve">DEVIS DE PRESTATIONS PROFESSIONNELLES</w:t>
      </w:r>
    </w:p>
    <w:p>
      <w:pPr>
        <w:jc w:val="center"/>
      </w:pPr>
      <w:r>
        <w:rPr/>
        <w:t xml:space="preserve">Modèle général de devis pour prestations professionnelles avec lignes, remise et résumé fiscal.</w:t>
      </w:r>
    </w:p>
    <w:p>
      <w:r>
        <w:rPr>
          <w:b/>
          <w:color w:val="4472C4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4472C4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Unités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Conseil stratégique (10 heures)</w:t>
            </w:r>
          </w:p>
        </w:tc>
        <w:tc>
          <w:tcPr>
            <w:tcW w:type="dxa" w:w="2160"/>
          </w:tcPr>
          <w:p>
            <w:r>
              <w:rPr/>
              <w:t xml:space="preserve">10</w:t>
            </w:r>
          </w:p>
        </w:tc>
        <w:tc>
          <w:tcPr>
            <w:tcW w:type="dxa" w:w="2160"/>
          </w:tcPr>
          <w:p>
            <w:r>
              <w:rPr/>
              <w:t xml:space="preserve">75,00 €</w:t>
            </w:r>
          </w:p>
        </w:tc>
        <w:tc>
          <w:tcPr>
            <w:tcW w:type="dxa" w:w="2160"/>
          </w:tcPr>
          <w:p>
            <w:r>
              <w:rPr/>
              <w:t xml:space="preserve">750,00 €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Création graphique et identité visuelle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450,00 €</w:t>
            </w:r>
          </w:p>
        </w:tc>
        <w:tc>
          <w:tcPr>
            <w:tcW w:type="dxa" w:w="2160"/>
          </w:tcPr>
          <w:p>
            <w:r>
              <w:rPr/>
              <w:t xml:space="preserve">450,00 €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Développement de site adaptatif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1 200,00 €</w:t>
            </w:r>
          </w:p>
        </w:tc>
        <w:tc>
          <w:tcPr>
            <w:tcW w:type="dxa" w:w="2160"/>
          </w:tcPr>
          <w:p>
            <w:r>
              <w:rPr/>
              <w:t xml:space="preserve">1 200,00 €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Gestion des réseaux sociaux (1 mois)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350,00 €</w:t>
            </w:r>
          </w:p>
        </w:tc>
        <w:tc>
          <w:tcPr>
            <w:tcW w:type="dxa" w:w="2160"/>
          </w:tcPr>
          <w:p>
            <w:r>
              <w:rPr/>
              <w:t xml:space="preserve">350,00 €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Rédaction de contenus pour le référencement naturel</w:t>
            </w:r>
          </w:p>
        </w:tc>
        <w:tc>
          <w:tcPr>
            <w:tcW w:type="dxa" w:w="2160"/>
          </w:tcPr>
          <w:p>
            <w:r>
              <w:rPr/>
              <w:t xml:space="preserve">5</w:t>
            </w:r>
          </w:p>
        </w:tc>
        <w:tc>
          <w:tcPr>
            <w:tcW w:type="dxa" w:w="2160"/>
          </w:tcPr>
          <w:p>
            <w:r>
              <w:rPr/>
              <w:t xml:space="preserve">80,00 €</w:t>
            </w:r>
          </w:p>
        </w:tc>
        <w:tc>
          <w:tcPr>
            <w:tcW w:type="dxa" w:w="2160"/>
          </w:tcPr>
          <w:p>
            <w:r>
              <w:rPr/>
              <w:t xml:space="preserve">400,00 €</w:t>
            </w:r>
          </w:p>
        </w:tc>
      </w:tr>
    </w:tbl>
    <w:p>
      <w:r>
        <w:rPr>
          <w:b/>
          <w:color w:val="4472C4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4472C4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Description de la prestation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Unités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Prix unitaire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Résumé TVA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4472C4"/>
          <w:sz w:val="24"/>
        </w:rPr>
        <w:t xml:space="preserve">Conditions et observations</w:t>
      </w:r>
    </w:p>
    <w:p>
      <w:r>
        <w:rPr/>
        <w:t xml:space="preserve">- Les prix correspondent aux prestations décrites.</w:t>
      </w:r>
    </w:p>
    <w:p>
      <w:r>
        <w:rPr/>
        <w:t xml:space="preserve">- Toute modification du périmètre sera validée séparément avant exécution.</w:t>
      </w:r>
    </w:p>
    <w:p>
      <w:r>
        <w:rPr/>
        <w:t xml:space="preserve">- Le devis est valable 30 jours à compter de sa date d'émission.</w:t>
      </w:r>
    </w:p>
    <w:p>
      <w:r>
        <w:rPr>
          <w:b/>
          <w:color w:val="4472C4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